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93E1E" w14:textId="77777777" w:rsidR="00C350DF" w:rsidRDefault="00C350DF" w:rsidP="00C350DF">
      <w:pPr>
        <w:jc w:val="center"/>
        <w:rPr>
          <w:rFonts w:ascii="Unistra B" w:hAnsi="Unistra B" w:cs="Calibri"/>
          <w:b/>
          <w:color w:val="E36C0A"/>
          <w:sz w:val="44"/>
          <w:szCs w:val="22"/>
        </w:rPr>
      </w:pPr>
    </w:p>
    <w:p w14:paraId="30D10208" w14:textId="77777777" w:rsidR="00741802" w:rsidRDefault="00741802" w:rsidP="00C350DF">
      <w:pPr>
        <w:jc w:val="center"/>
        <w:rPr>
          <w:rFonts w:ascii="Unistra B" w:hAnsi="Unistra B" w:cs="Calibri"/>
          <w:b/>
          <w:color w:val="E36C0A"/>
          <w:sz w:val="44"/>
          <w:szCs w:val="22"/>
        </w:rPr>
      </w:pPr>
      <w:r>
        <w:rPr>
          <w:rFonts w:ascii="Unistra B" w:hAnsi="Unistra B" w:cs="Calibri"/>
          <w:b/>
          <w:color w:val="E36C0A"/>
          <w:sz w:val="44"/>
          <w:szCs w:val="22"/>
        </w:rPr>
        <w:t>Formulaire de candidature à une aide financière</w:t>
      </w:r>
    </w:p>
    <w:p w14:paraId="5D47AD91" w14:textId="77777777" w:rsidR="007358D9" w:rsidRPr="00C350DF" w:rsidRDefault="00741802" w:rsidP="00C350DF">
      <w:pPr>
        <w:jc w:val="center"/>
        <w:rPr>
          <w:rFonts w:ascii="Unistra B" w:hAnsi="Unistra B" w:cs="Calibri"/>
          <w:b/>
          <w:color w:val="E36C0A"/>
          <w:sz w:val="44"/>
          <w:szCs w:val="22"/>
        </w:rPr>
      </w:pPr>
      <w:r>
        <w:rPr>
          <w:rFonts w:ascii="Unistra B" w:hAnsi="Unistra B" w:cs="Calibri"/>
          <w:b/>
          <w:color w:val="E36C0A"/>
          <w:sz w:val="44"/>
          <w:szCs w:val="22"/>
        </w:rPr>
        <w:t xml:space="preserve">Demande de bourse </w:t>
      </w:r>
      <w:proofErr w:type="spellStart"/>
      <w:r>
        <w:rPr>
          <w:rFonts w:ascii="Unistra B" w:hAnsi="Unistra B" w:cs="Calibri"/>
          <w:b/>
          <w:color w:val="E36C0A"/>
          <w:sz w:val="44"/>
          <w:szCs w:val="22"/>
        </w:rPr>
        <w:t>Mobil’ITI</w:t>
      </w:r>
      <w:proofErr w:type="spellEnd"/>
    </w:p>
    <w:p w14:paraId="21DA8A84" w14:textId="77777777" w:rsidR="00741802" w:rsidRDefault="00741802" w:rsidP="007358D9">
      <w:pPr>
        <w:tabs>
          <w:tab w:val="right" w:pos="9638"/>
        </w:tabs>
        <w:ind w:left="1800"/>
        <w:rPr>
          <w:rFonts w:ascii="Unistra A" w:hAnsi="Unistra A" w:cs="Arial"/>
          <w:color w:val="0000FF"/>
          <w:spacing w:val="40"/>
          <w:sz w:val="22"/>
          <w:szCs w:val="22"/>
        </w:rPr>
      </w:pPr>
    </w:p>
    <w:p w14:paraId="5800A093" w14:textId="77777777" w:rsidR="00741802" w:rsidRDefault="00741802" w:rsidP="00741802">
      <w:pPr>
        <w:jc w:val="both"/>
        <w:rPr>
          <w:rFonts w:ascii="Unistra B" w:hAnsi="Unistra B" w:cs="Calibri"/>
          <w:b/>
          <w:color w:val="E36C0A"/>
          <w:sz w:val="22"/>
          <w:szCs w:val="22"/>
        </w:rPr>
      </w:pPr>
      <w:r w:rsidRPr="00D30522">
        <w:rPr>
          <w:rFonts w:ascii="Unistra B" w:hAnsi="Unistra B" w:cs="Calibri"/>
          <w:b/>
          <w:color w:val="E36C0A"/>
          <w:sz w:val="22"/>
          <w:szCs w:val="22"/>
        </w:rPr>
        <w:t>Eligibilité du candidat :</w:t>
      </w:r>
    </w:p>
    <w:p w14:paraId="2B1D1134" w14:textId="77777777" w:rsidR="00741802" w:rsidRDefault="00741802" w:rsidP="00741802">
      <w:pPr>
        <w:jc w:val="both"/>
        <w:rPr>
          <w:rFonts w:ascii="Unistra A" w:hAnsi="Unistra A" w:cs="Arial"/>
          <w:sz w:val="22"/>
          <w:szCs w:val="22"/>
        </w:rPr>
      </w:pPr>
      <w:r>
        <w:rPr>
          <w:rFonts w:ascii="Unistra A" w:hAnsi="Unistra A" w:cs="Arial"/>
          <w:sz w:val="22"/>
          <w:szCs w:val="22"/>
        </w:rPr>
        <w:t xml:space="preserve">Le/la </w:t>
      </w:r>
      <w:proofErr w:type="spellStart"/>
      <w:proofErr w:type="gramStart"/>
      <w:r>
        <w:rPr>
          <w:rFonts w:ascii="Unistra A" w:hAnsi="Unistra A" w:cs="Arial"/>
          <w:sz w:val="22"/>
          <w:szCs w:val="22"/>
        </w:rPr>
        <w:t>candidat.e</w:t>
      </w:r>
      <w:proofErr w:type="spellEnd"/>
      <w:proofErr w:type="gramEnd"/>
      <w:r>
        <w:rPr>
          <w:rFonts w:ascii="Unistra A" w:hAnsi="Unistra A" w:cs="Arial"/>
          <w:sz w:val="22"/>
          <w:szCs w:val="22"/>
        </w:rPr>
        <w:t xml:space="preserve"> devra</w:t>
      </w:r>
      <w:r w:rsidR="005415F5">
        <w:rPr>
          <w:rFonts w:ascii="Unistra A" w:hAnsi="Unistra A" w:cs="Arial"/>
          <w:sz w:val="22"/>
          <w:szCs w:val="22"/>
        </w:rPr>
        <w:t> </w:t>
      </w:r>
    </w:p>
    <w:p w14:paraId="1529BDA7" w14:textId="77777777" w:rsidR="005415F5" w:rsidRDefault="00741802" w:rsidP="00741802">
      <w:pPr>
        <w:jc w:val="both"/>
        <w:rPr>
          <w:rFonts w:ascii="Unistra A" w:hAnsi="Unistra A" w:cs="Arial"/>
          <w:sz w:val="22"/>
          <w:szCs w:val="22"/>
        </w:rPr>
      </w:pPr>
      <w:r>
        <w:rPr>
          <w:rFonts w:ascii="Unistra A" w:hAnsi="Unistra A" w:cs="Arial"/>
          <w:sz w:val="22"/>
          <w:szCs w:val="22"/>
        </w:rPr>
        <w:t>• Etre inscrit administrativement à une des formations diplômantes proposées dans le cadre des ITI</w:t>
      </w:r>
      <w:r w:rsidRPr="00D30522">
        <w:rPr>
          <w:rFonts w:ascii="Unistra A" w:hAnsi="Unistra A" w:cs="Arial"/>
          <w:sz w:val="22"/>
          <w:szCs w:val="22"/>
        </w:rPr>
        <w:t>.</w:t>
      </w:r>
    </w:p>
    <w:p w14:paraId="7D5D6743" w14:textId="77777777" w:rsidR="005415F5" w:rsidRDefault="005415F5" w:rsidP="00741802">
      <w:pPr>
        <w:jc w:val="both"/>
        <w:rPr>
          <w:rFonts w:ascii="Unistra A" w:hAnsi="Unistra A" w:cs="Arial"/>
          <w:sz w:val="22"/>
          <w:szCs w:val="22"/>
        </w:rPr>
      </w:pPr>
    </w:p>
    <w:p w14:paraId="034F6D01" w14:textId="77777777" w:rsidR="005415F5" w:rsidRPr="00784C39" w:rsidRDefault="005415F5" w:rsidP="005415F5">
      <w:pPr>
        <w:jc w:val="both"/>
        <w:rPr>
          <w:rFonts w:ascii="Unistra B" w:hAnsi="Unistra B" w:cs="Calibri"/>
          <w:b/>
          <w:i/>
          <w:color w:val="E36C0A"/>
          <w:sz w:val="22"/>
          <w:szCs w:val="22"/>
          <w:lang w:val="en-US"/>
        </w:rPr>
      </w:pPr>
      <w:r w:rsidRPr="00784C39">
        <w:rPr>
          <w:rFonts w:ascii="Unistra B" w:hAnsi="Unistra B" w:cs="Calibri"/>
          <w:b/>
          <w:i/>
          <w:color w:val="E36C0A"/>
          <w:sz w:val="22"/>
          <w:szCs w:val="22"/>
          <w:lang w:val="en-US"/>
        </w:rPr>
        <w:t>Applicant Eligibility:</w:t>
      </w:r>
    </w:p>
    <w:p w14:paraId="191575FD" w14:textId="77777777" w:rsidR="005415F5" w:rsidRPr="00784C39" w:rsidRDefault="005415F5" w:rsidP="005415F5">
      <w:pPr>
        <w:jc w:val="both"/>
        <w:rPr>
          <w:rFonts w:ascii="Unistra B" w:hAnsi="Unistra B" w:cs="Calibri"/>
          <w:i/>
          <w:sz w:val="22"/>
          <w:szCs w:val="22"/>
          <w:lang w:val="en-US"/>
        </w:rPr>
      </w:pPr>
      <w:r w:rsidRPr="00784C39">
        <w:rPr>
          <w:rFonts w:ascii="Unistra B" w:hAnsi="Unistra B" w:cs="Calibri"/>
          <w:i/>
          <w:sz w:val="22"/>
          <w:szCs w:val="22"/>
          <w:lang w:val="en-US"/>
        </w:rPr>
        <w:t>The applicant must </w:t>
      </w:r>
    </w:p>
    <w:p w14:paraId="675C2E59" w14:textId="77777777" w:rsidR="005415F5" w:rsidRPr="00784C39" w:rsidRDefault="005415F5" w:rsidP="005415F5">
      <w:pPr>
        <w:rPr>
          <w:rFonts w:ascii="Unistra B" w:hAnsi="Unistra B" w:cs="Calibri"/>
          <w:i/>
          <w:sz w:val="22"/>
          <w:szCs w:val="22"/>
          <w:lang w:val="en-US"/>
        </w:rPr>
      </w:pPr>
      <w:r w:rsidRPr="00784C39">
        <w:rPr>
          <w:rFonts w:ascii="Unistra A" w:hAnsi="Unistra A" w:cs="Arial"/>
          <w:sz w:val="22"/>
          <w:szCs w:val="22"/>
          <w:lang w:val="en-US"/>
        </w:rPr>
        <w:t>•</w:t>
      </w:r>
      <w:r w:rsidRPr="00784C39">
        <w:rPr>
          <w:rFonts w:ascii="Unistra B" w:hAnsi="Unistra B" w:cs="Calibri"/>
          <w:i/>
          <w:sz w:val="22"/>
          <w:szCs w:val="22"/>
          <w:lang w:val="en-US"/>
        </w:rPr>
        <w:t xml:space="preserve"> Be registered in one of the degree courses offered within the framework of the ITI.</w:t>
      </w:r>
    </w:p>
    <w:p w14:paraId="50FA525E" w14:textId="77777777" w:rsidR="00741802" w:rsidRPr="00FD53D7" w:rsidRDefault="00741802" w:rsidP="00741802">
      <w:pPr>
        <w:rPr>
          <w:rFonts w:ascii="Unistra B" w:hAnsi="Unistra B" w:cs="Calibri"/>
          <w:b/>
          <w:color w:val="E36C0A"/>
          <w:sz w:val="22"/>
          <w:szCs w:val="22"/>
          <w:lang w:val="en-US"/>
        </w:rPr>
      </w:pPr>
    </w:p>
    <w:p w14:paraId="2E36BC16" w14:textId="77777777" w:rsidR="00741802" w:rsidRDefault="00741802" w:rsidP="00741802">
      <w:pPr>
        <w:jc w:val="both"/>
        <w:rPr>
          <w:rFonts w:ascii="Unistra A" w:hAnsi="Unistra A" w:cs="Arial"/>
          <w:sz w:val="22"/>
          <w:szCs w:val="22"/>
        </w:rPr>
      </w:pPr>
      <w:r>
        <w:rPr>
          <w:rFonts w:ascii="Unistra A" w:hAnsi="Unistra A" w:cs="Arial"/>
          <w:sz w:val="22"/>
          <w:szCs w:val="22"/>
        </w:rPr>
        <w:t xml:space="preserve">Le soutien est valable une année académique (10 mois), renouvelable sous certaines conditions propres à chaque ITI, pour une durée maximum de 6 mois. </w:t>
      </w:r>
    </w:p>
    <w:p w14:paraId="25C15F53" w14:textId="6B847A01" w:rsidR="00784C39" w:rsidRPr="00784C39" w:rsidRDefault="00784C39" w:rsidP="00784C39">
      <w:pPr>
        <w:jc w:val="both"/>
        <w:rPr>
          <w:rFonts w:ascii="Unistra A" w:hAnsi="Unistra A" w:cs="Arial"/>
          <w:i/>
          <w:iCs/>
          <w:sz w:val="22"/>
          <w:szCs w:val="22"/>
          <w:lang w:val="en-US"/>
        </w:rPr>
      </w:pPr>
      <w:r w:rsidRPr="00784C39">
        <w:rPr>
          <w:rFonts w:ascii="Unistra A" w:hAnsi="Unistra A" w:cs="Arial"/>
          <w:i/>
          <w:iCs/>
          <w:sz w:val="22"/>
          <w:szCs w:val="22"/>
          <w:lang w:val="en-US"/>
        </w:rPr>
        <w:t xml:space="preserve">The grant is attributed for a complete academic year (10 months), renewable under conditions for a maximum duration of 6 months. </w:t>
      </w:r>
    </w:p>
    <w:p w14:paraId="04DA6CF7" w14:textId="77777777" w:rsidR="00741802" w:rsidRPr="00784C39" w:rsidRDefault="00741802" w:rsidP="00741802">
      <w:pPr>
        <w:jc w:val="both"/>
        <w:rPr>
          <w:rFonts w:ascii="Unistra A" w:hAnsi="Unistra A" w:cs="Arial"/>
          <w:sz w:val="22"/>
          <w:szCs w:val="22"/>
          <w:lang w:val="en-US"/>
        </w:rPr>
      </w:pPr>
    </w:p>
    <w:p w14:paraId="4A92F275" w14:textId="77777777" w:rsidR="00741802" w:rsidRDefault="00741802" w:rsidP="00741802">
      <w:pPr>
        <w:jc w:val="both"/>
        <w:rPr>
          <w:rFonts w:ascii="Unistra B" w:hAnsi="Unistra B" w:cs="Calibri"/>
          <w:b/>
          <w:color w:val="E36C0A"/>
          <w:sz w:val="22"/>
          <w:szCs w:val="22"/>
        </w:rPr>
      </w:pPr>
      <w:r w:rsidRPr="00D30522">
        <w:rPr>
          <w:rFonts w:ascii="Unistra B" w:hAnsi="Unistra B" w:cs="Calibri"/>
          <w:b/>
          <w:color w:val="E36C0A"/>
          <w:sz w:val="22"/>
          <w:szCs w:val="22"/>
        </w:rPr>
        <w:t>Critères d’attribution</w:t>
      </w:r>
      <w:r>
        <w:rPr>
          <w:rFonts w:ascii="Unistra B" w:hAnsi="Unistra B" w:cs="Calibri"/>
          <w:b/>
          <w:color w:val="E36C0A"/>
          <w:sz w:val="22"/>
          <w:szCs w:val="22"/>
        </w:rPr>
        <w:t xml:space="preserve"> </w:t>
      </w:r>
    </w:p>
    <w:p w14:paraId="0F8E7F95" w14:textId="085E0755" w:rsidR="00741802" w:rsidRDefault="00784C39" w:rsidP="00741802">
      <w:pPr>
        <w:rPr>
          <w:rFonts w:ascii="Unistra A" w:hAnsi="Unistra A" w:cs="Arial"/>
          <w:sz w:val="22"/>
          <w:szCs w:val="22"/>
        </w:rPr>
      </w:pPr>
      <w:r w:rsidRPr="00784C39">
        <w:rPr>
          <w:rFonts w:ascii="Unistra A" w:hAnsi="Unistra A" w:cs="Arial"/>
          <w:sz w:val="22"/>
          <w:szCs w:val="22"/>
        </w:rPr>
        <w:t>Les critères de sélection comprennent les résultats universitaires, la motivation sp</w:t>
      </w:r>
      <w:r w:rsidR="00193FA0">
        <w:rPr>
          <w:rFonts w:ascii="Unistra A" w:hAnsi="Unistra A" w:cs="Arial"/>
          <w:sz w:val="22"/>
          <w:szCs w:val="22"/>
        </w:rPr>
        <w:t xml:space="preserve">écifique aux objectifs de </w:t>
      </w:r>
      <w:proofErr w:type="spellStart"/>
      <w:r w:rsidR="00193FA0">
        <w:rPr>
          <w:rFonts w:ascii="Unistra A" w:hAnsi="Unistra A" w:cs="Arial"/>
          <w:sz w:val="22"/>
          <w:szCs w:val="22"/>
        </w:rPr>
        <w:t>LiRiC</w:t>
      </w:r>
      <w:proofErr w:type="spellEnd"/>
      <w:r w:rsidRPr="00784C39">
        <w:rPr>
          <w:rFonts w:ascii="Unistra A" w:hAnsi="Unistra A" w:cs="Arial"/>
          <w:sz w:val="22"/>
          <w:szCs w:val="22"/>
        </w:rPr>
        <w:t>, toute expérience démontrant la capacité de collaboration interdisciplinaire et un potentiel de participatio</w:t>
      </w:r>
      <w:r w:rsidR="00193FA0">
        <w:rPr>
          <w:rFonts w:ascii="Unistra A" w:hAnsi="Unistra A" w:cs="Arial"/>
          <w:sz w:val="22"/>
          <w:szCs w:val="22"/>
        </w:rPr>
        <w:t xml:space="preserve">n active aux activités de </w:t>
      </w:r>
      <w:proofErr w:type="spellStart"/>
      <w:r w:rsidR="00193FA0">
        <w:rPr>
          <w:rFonts w:ascii="Unistra A" w:hAnsi="Unistra A" w:cs="Arial"/>
          <w:sz w:val="22"/>
          <w:szCs w:val="22"/>
        </w:rPr>
        <w:t>LiRiC</w:t>
      </w:r>
      <w:proofErr w:type="spellEnd"/>
      <w:r w:rsidRPr="00784C39">
        <w:rPr>
          <w:rFonts w:ascii="Unistra A" w:hAnsi="Unistra A" w:cs="Arial"/>
          <w:sz w:val="22"/>
          <w:szCs w:val="22"/>
        </w:rPr>
        <w:t>.</w:t>
      </w:r>
    </w:p>
    <w:p w14:paraId="3876F758" w14:textId="46FBCDF3" w:rsidR="00784C39" w:rsidRDefault="00784C39" w:rsidP="00741802">
      <w:pPr>
        <w:rPr>
          <w:rFonts w:ascii="Unistra A" w:hAnsi="Unistra A" w:cs="Arial"/>
          <w:sz w:val="22"/>
          <w:szCs w:val="22"/>
        </w:rPr>
      </w:pPr>
    </w:p>
    <w:p w14:paraId="7215E7B5" w14:textId="4AA2823E" w:rsidR="00784C39" w:rsidRPr="00784C39" w:rsidRDefault="00784C39" w:rsidP="00784C39">
      <w:pPr>
        <w:jc w:val="both"/>
        <w:rPr>
          <w:rFonts w:ascii="Unistra B" w:hAnsi="Unistra B" w:cs="Calibri"/>
          <w:b/>
          <w:i/>
          <w:iCs/>
          <w:color w:val="E36C0A"/>
          <w:sz w:val="22"/>
          <w:szCs w:val="22"/>
          <w:lang w:val="en-US"/>
        </w:rPr>
      </w:pPr>
      <w:r w:rsidRPr="00784C39">
        <w:rPr>
          <w:rFonts w:ascii="Unistra B" w:hAnsi="Unistra B" w:cs="Calibri"/>
          <w:b/>
          <w:i/>
          <w:iCs/>
          <w:color w:val="E36C0A"/>
          <w:sz w:val="22"/>
          <w:szCs w:val="22"/>
          <w:lang w:val="en-US"/>
        </w:rPr>
        <w:t>Selection criteria</w:t>
      </w:r>
    </w:p>
    <w:p w14:paraId="4518BB18" w14:textId="3128B05F" w:rsidR="00784C39" w:rsidRPr="00784C39" w:rsidRDefault="00784C39" w:rsidP="00741802">
      <w:pPr>
        <w:rPr>
          <w:rFonts w:ascii="Unistra A" w:hAnsi="Unistra A" w:cs="Arial"/>
          <w:i/>
          <w:iCs/>
          <w:sz w:val="22"/>
          <w:szCs w:val="22"/>
          <w:lang w:val="en-US"/>
        </w:rPr>
      </w:pPr>
      <w:r w:rsidRPr="00784C39">
        <w:rPr>
          <w:rFonts w:ascii="Unistra A" w:hAnsi="Unistra A" w:cs="Arial"/>
          <w:i/>
          <w:iCs/>
          <w:sz w:val="22"/>
          <w:szCs w:val="22"/>
          <w:lang w:val="en-US"/>
        </w:rPr>
        <w:t>The selection criteria include academic results, motivation speci</w:t>
      </w:r>
      <w:r w:rsidR="00193FA0">
        <w:rPr>
          <w:rFonts w:ascii="Unistra A" w:hAnsi="Unistra A" w:cs="Arial"/>
          <w:i/>
          <w:iCs/>
          <w:sz w:val="22"/>
          <w:szCs w:val="22"/>
          <w:lang w:val="en-US"/>
        </w:rPr>
        <w:t xml:space="preserve">fic to the objectives of </w:t>
      </w:r>
      <w:proofErr w:type="spellStart"/>
      <w:r w:rsidR="00193FA0">
        <w:rPr>
          <w:rFonts w:ascii="Unistra A" w:hAnsi="Unistra A" w:cs="Arial"/>
          <w:i/>
          <w:iCs/>
          <w:sz w:val="22"/>
          <w:szCs w:val="22"/>
          <w:lang w:val="en-US"/>
        </w:rPr>
        <w:t>LiRiC</w:t>
      </w:r>
      <w:proofErr w:type="spellEnd"/>
      <w:r w:rsidRPr="00784C39">
        <w:rPr>
          <w:rFonts w:ascii="Unistra A" w:hAnsi="Unistra A" w:cs="Arial"/>
          <w:i/>
          <w:iCs/>
          <w:sz w:val="22"/>
          <w:szCs w:val="22"/>
          <w:lang w:val="en-US"/>
        </w:rPr>
        <w:t xml:space="preserve">, any experience demonstrating the ability for interdisciplinary collaborations, and a potential </w:t>
      </w:r>
      <w:proofErr w:type="gramStart"/>
      <w:r w:rsidRPr="00784C39">
        <w:rPr>
          <w:rFonts w:ascii="Unistra A" w:hAnsi="Unistra A" w:cs="Arial"/>
          <w:i/>
          <w:iCs/>
          <w:sz w:val="22"/>
          <w:szCs w:val="22"/>
          <w:lang w:val="en-US"/>
        </w:rPr>
        <w:t>to acti</w:t>
      </w:r>
      <w:r w:rsidR="00193FA0">
        <w:rPr>
          <w:rFonts w:ascii="Unistra A" w:hAnsi="Unistra A" w:cs="Arial"/>
          <w:i/>
          <w:iCs/>
          <w:sz w:val="22"/>
          <w:szCs w:val="22"/>
          <w:lang w:val="en-US"/>
        </w:rPr>
        <w:t>vely participate</w:t>
      </w:r>
      <w:proofErr w:type="gramEnd"/>
      <w:r w:rsidR="00193FA0">
        <w:rPr>
          <w:rFonts w:ascii="Unistra A" w:hAnsi="Unistra A" w:cs="Arial"/>
          <w:i/>
          <w:iCs/>
          <w:sz w:val="22"/>
          <w:szCs w:val="22"/>
          <w:lang w:val="en-US"/>
        </w:rPr>
        <w:t xml:space="preserve"> in the </w:t>
      </w:r>
      <w:proofErr w:type="spellStart"/>
      <w:r w:rsidR="00193FA0">
        <w:rPr>
          <w:rFonts w:ascii="Unistra A" w:hAnsi="Unistra A" w:cs="Arial"/>
          <w:i/>
          <w:iCs/>
          <w:sz w:val="22"/>
          <w:szCs w:val="22"/>
          <w:lang w:val="en-US"/>
        </w:rPr>
        <w:t>LiRiC</w:t>
      </w:r>
      <w:proofErr w:type="spellEnd"/>
      <w:r w:rsidR="00193FA0">
        <w:rPr>
          <w:rFonts w:ascii="Unistra A" w:hAnsi="Unistra A" w:cs="Arial"/>
          <w:i/>
          <w:iCs/>
          <w:sz w:val="22"/>
          <w:szCs w:val="22"/>
          <w:lang w:val="en-US"/>
        </w:rPr>
        <w:t xml:space="preserve"> </w:t>
      </w:r>
      <w:r w:rsidRPr="00784C39">
        <w:rPr>
          <w:rFonts w:ascii="Unistra A" w:hAnsi="Unistra A" w:cs="Arial"/>
          <w:i/>
          <w:iCs/>
          <w:sz w:val="22"/>
          <w:szCs w:val="22"/>
          <w:lang w:val="en-US"/>
        </w:rPr>
        <w:t>activities.</w:t>
      </w:r>
    </w:p>
    <w:p w14:paraId="4C821ECD" w14:textId="77777777" w:rsidR="00784C39" w:rsidRPr="00784C39" w:rsidRDefault="00784C39" w:rsidP="00741802">
      <w:pPr>
        <w:rPr>
          <w:rFonts w:ascii="Unistra A" w:hAnsi="Unistra A" w:cs="Arial"/>
          <w:sz w:val="22"/>
          <w:szCs w:val="22"/>
          <w:lang w:val="en-US"/>
        </w:rPr>
      </w:pPr>
    </w:p>
    <w:p w14:paraId="68C1419C" w14:textId="77777777" w:rsidR="00741802" w:rsidRDefault="00741802" w:rsidP="00741802">
      <w:pPr>
        <w:jc w:val="both"/>
        <w:rPr>
          <w:rFonts w:ascii="Unistra B" w:hAnsi="Unistra B" w:cs="Calibri"/>
          <w:b/>
          <w:color w:val="E36C0A"/>
          <w:sz w:val="22"/>
          <w:szCs w:val="22"/>
        </w:rPr>
      </w:pPr>
      <w:r w:rsidRPr="00D30522">
        <w:rPr>
          <w:rFonts w:ascii="Unistra B" w:hAnsi="Unistra B" w:cs="Calibri"/>
          <w:b/>
          <w:color w:val="E36C0A"/>
          <w:sz w:val="22"/>
          <w:szCs w:val="22"/>
        </w:rPr>
        <w:t xml:space="preserve">Cumul de </w:t>
      </w:r>
      <w:r>
        <w:rPr>
          <w:rFonts w:ascii="Unistra B" w:hAnsi="Unistra B" w:cs="Calibri"/>
          <w:b/>
          <w:color w:val="E36C0A"/>
          <w:sz w:val="22"/>
          <w:szCs w:val="22"/>
        </w:rPr>
        <w:t>soutiens financiers</w:t>
      </w:r>
    </w:p>
    <w:p w14:paraId="58FEDD47" w14:textId="77777777" w:rsidR="005415F5" w:rsidRPr="0039049C" w:rsidRDefault="00741802" w:rsidP="00741802">
      <w:pPr>
        <w:jc w:val="both"/>
        <w:rPr>
          <w:rFonts w:ascii="Unistra B" w:hAnsi="Unistra B" w:cs="Calibri"/>
          <w:b/>
          <w:bCs/>
          <w:sz w:val="22"/>
        </w:rPr>
      </w:pPr>
      <w:r w:rsidRPr="0039049C">
        <w:rPr>
          <w:rFonts w:ascii="Unistra B" w:hAnsi="Unistra B" w:cs="Calibri"/>
          <w:b/>
          <w:bCs/>
          <w:sz w:val="22"/>
        </w:rPr>
        <w:t xml:space="preserve">La bourse </w:t>
      </w:r>
      <w:proofErr w:type="spellStart"/>
      <w:r w:rsidR="005415F5">
        <w:rPr>
          <w:rFonts w:ascii="Unistra B" w:hAnsi="Unistra B" w:cs="Calibri"/>
          <w:b/>
          <w:bCs/>
          <w:sz w:val="22"/>
        </w:rPr>
        <w:t>Mobil’</w:t>
      </w:r>
      <w:r w:rsidRPr="0039049C">
        <w:rPr>
          <w:rFonts w:ascii="Unistra B" w:hAnsi="Unistra B" w:cs="Calibri"/>
          <w:b/>
          <w:bCs/>
          <w:sz w:val="22"/>
        </w:rPr>
        <w:t>ITI</w:t>
      </w:r>
      <w:proofErr w:type="spellEnd"/>
      <w:r w:rsidRPr="0039049C">
        <w:rPr>
          <w:rFonts w:ascii="Unistra B" w:hAnsi="Unistra B" w:cs="Calibri"/>
          <w:b/>
          <w:bCs/>
          <w:sz w:val="22"/>
        </w:rPr>
        <w:t xml:space="preserve"> n’est pas cumulable avec les dispositifs de soutien à la mobilité suivants :</w:t>
      </w:r>
    </w:p>
    <w:p w14:paraId="447BE44E" w14:textId="77777777" w:rsidR="00741802" w:rsidRPr="00D30522" w:rsidRDefault="00741802" w:rsidP="00741802">
      <w:pPr>
        <w:pStyle w:val="Paragraphedeliste"/>
        <w:numPr>
          <w:ilvl w:val="0"/>
          <w:numId w:val="8"/>
        </w:numPr>
        <w:spacing w:before="120" w:line="240" w:lineRule="exact"/>
        <w:ind w:right="284"/>
        <w:jc w:val="both"/>
        <w:rPr>
          <w:rFonts w:ascii="Unistra B" w:hAnsi="Unistra B" w:cs="Calibri"/>
          <w:bCs/>
        </w:rPr>
      </w:pPr>
      <w:r>
        <w:rPr>
          <w:rFonts w:ascii="Unistra B" w:hAnsi="Unistra B" w:cs="Calibri"/>
          <w:bCs/>
        </w:rPr>
        <w:t xml:space="preserve">Dispositif de soutien à la mobilité internationale </w:t>
      </w:r>
      <w:proofErr w:type="spellStart"/>
      <w:r w:rsidRPr="00D30522">
        <w:rPr>
          <w:rFonts w:ascii="Unistra B" w:hAnsi="Unistra B" w:cs="Calibri"/>
          <w:bCs/>
        </w:rPr>
        <w:t>Unistra</w:t>
      </w:r>
      <w:proofErr w:type="spellEnd"/>
      <w:r>
        <w:rPr>
          <w:rFonts w:ascii="Unistra B" w:hAnsi="Unistra B" w:cs="Calibri"/>
          <w:bCs/>
        </w:rPr>
        <w:t xml:space="preserve"> (DRI) </w:t>
      </w:r>
    </w:p>
    <w:p w14:paraId="5FF2534F" w14:textId="77777777" w:rsidR="00741802" w:rsidRPr="0027361C" w:rsidRDefault="00741802" w:rsidP="00741802">
      <w:pPr>
        <w:pStyle w:val="Paragraphedeliste"/>
        <w:numPr>
          <w:ilvl w:val="0"/>
          <w:numId w:val="8"/>
        </w:numPr>
        <w:spacing w:before="120" w:line="240" w:lineRule="exact"/>
        <w:ind w:right="284"/>
        <w:jc w:val="both"/>
        <w:rPr>
          <w:rFonts w:ascii="Unistra B" w:hAnsi="Unistra B" w:cs="Calibri"/>
          <w:bCs/>
        </w:rPr>
      </w:pPr>
      <w:r w:rsidRPr="00D30522">
        <w:rPr>
          <w:rFonts w:ascii="Unistra B" w:hAnsi="Unistra B" w:cs="Calibri"/>
          <w:bCs/>
        </w:rPr>
        <w:t xml:space="preserve">Erasmus+ MIC </w:t>
      </w:r>
      <w:r>
        <w:rPr>
          <w:rFonts w:ascii="Unistra B" w:hAnsi="Unistra B" w:cs="Calibri"/>
          <w:bCs/>
        </w:rPr>
        <w:t xml:space="preserve">/ </w:t>
      </w:r>
      <w:proofErr w:type="spellStart"/>
      <w:r>
        <w:rPr>
          <w:rFonts w:ascii="Unistra B" w:hAnsi="Unistra B" w:cs="Calibri"/>
          <w:bCs/>
        </w:rPr>
        <w:t>Mundus</w:t>
      </w:r>
      <w:proofErr w:type="spellEnd"/>
      <w:r>
        <w:rPr>
          <w:rFonts w:ascii="Unistra B" w:hAnsi="Unistra B" w:cs="Calibri"/>
          <w:bCs/>
        </w:rPr>
        <w:t xml:space="preserve"> / KA 103 sauf dispositif Erasmus+ Stage KA103</w:t>
      </w:r>
    </w:p>
    <w:p w14:paraId="6E72E8C5" w14:textId="77777777" w:rsidR="00741802" w:rsidRPr="00D30522" w:rsidRDefault="00741802" w:rsidP="00741802">
      <w:pPr>
        <w:pStyle w:val="Paragraphedeliste"/>
        <w:numPr>
          <w:ilvl w:val="0"/>
          <w:numId w:val="8"/>
        </w:numPr>
        <w:spacing w:before="120" w:line="240" w:lineRule="exact"/>
        <w:ind w:right="284"/>
        <w:jc w:val="both"/>
        <w:rPr>
          <w:rFonts w:ascii="Unistra B" w:hAnsi="Unistra B" w:cs="Calibri"/>
          <w:bCs/>
        </w:rPr>
      </w:pPr>
      <w:r w:rsidRPr="00D30522">
        <w:rPr>
          <w:rFonts w:ascii="Unistra B" w:hAnsi="Unistra B" w:cs="Calibri"/>
          <w:bCs/>
        </w:rPr>
        <w:t>UFA</w:t>
      </w:r>
    </w:p>
    <w:p w14:paraId="4958BD0F" w14:textId="77777777" w:rsidR="00741802" w:rsidRPr="00D30522" w:rsidRDefault="00741802" w:rsidP="00741802">
      <w:pPr>
        <w:pStyle w:val="Paragraphedeliste"/>
        <w:numPr>
          <w:ilvl w:val="0"/>
          <w:numId w:val="8"/>
        </w:numPr>
        <w:spacing w:before="120" w:line="240" w:lineRule="exact"/>
        <w:ind w:right="284"/>
        <w:jc w:val="both"/>
        <w:rPr>
          <w:rFonts w:ascii="Unistra B" w:hAnsi="Unistra B" w:cs="Calibri"/>
          <w:bCs/>
        </w:rPr>
      </w:pPr>
      <w:r>
        <w:rPr>
          <w:rFonts w:ascii="Unistra B" w:hAnsi="Unistra B" w:cs="Calibri"/>
          <w:bCs/>
        </w:rPr>
        <w:t>Autres soutiens financiers</w:t>
      </w:r>
      <w:r w:rsidRPr="00D30522">
        <w:rPr>
          <w:rFonts w:ascii="Unistra B" w:hAnsi="Unistra B" w:cs="Calibri"/>
          <w:bCs/>
        </w:rPr>
        <w:t xml:space="preserve"> issues de financement </w:t>
      </w:r>
      <w:proofErr w:type="spellStart"/>
      <w:r w:rsidRPr="00D30522">
        <w:rPr>
          <w:rFonts w:ascii="Unistra B" w:hAnsi="Unistra B" w:cs="Calibri"/>
          <w:bCs/>
        </w:rPr>
        <w:t>IdEx</w:t>
      </w:r>
      <w:proofErr w:type="spellEnd"/>
    </w:p>
    <w:p w14:paraId="6C59CD13" w14:textId="77777777" w:rsidR="00741802" w:rsidRPr="00D30522" w:rsidRDefault="00741802" w:rsidP="00741802">
      <w:pPr>
        <w:pStyle w:val="Paragraphedeliste"/>
        <w:spacing w:before="120" w:line="240" w:lineRule="exact"/>
        <w:ind w:left="1418" w:right="284"/>
        <w:jc w:val="both"/>
        <w:rPr>
          <w:rFonts w:ascii="Unistra B" w:hAnsi="Unistra B" w:cs="Calibri"/>
          <w:bCs/>
        </w:rPr>
      </w:pPr>
      <w:r w:rsidRPr="00D30522">
        <w:rPr>
          <w:rFonts w:ascii="Unistra B" w:hAnsi="Unistra B" w:cs="Calibri"/>
          <w:bCs/>
        </w:rPr>
        <w:t>L’étudiant-allocataire ne peut pas bénéficier en supplément d’une autre aide financière soutenue par l’</w:t>
      </w:r>
      <w:proofErr w:type="spellStart"/>
      <w:r w:rsidRPr="00D30522">
        <w:rPr>
          <w:rFonts w:ascii="Unistra B" w:hAnsi="Unistra B" w:cs="Calibri"/>
          <w:bCs/>
        </w:rPr>
        <w:t>IdEx</w:t>
      </w:r>
      <w:proofErr w:type="spellEnd"/>
      <w:r w:rsidRPr="00D30522">
        <w:rPr>
          <w:rFonts w:ascii="Unistra B" w:hAnsi="Unistra B" w:cs="Calibri"/>
          <w:bCs/>
        </w:rPr>
        <w:t xml:space="preserve"> pour la même année universitaire. </w:t>
      </w:r>
    </w:p>
    <w:p w14:paraId="4C1D4FEE" w14:textId="77777777" w:rsidR="005415F5" w:rsidRPr="00784C39" w:rsidRDefault="005415F5" w:rsidP="005415F5">
      <w:pPr>
        <w:jc w:val="both"/>
        <w:rPr>
          <w:rFonts w:ascii="Unistra B" w:hAnsi="Unistra B" w:cs="Calibri"/>
          <w:b/>
          <w:i/>
          <w:color w:val="E36C0A"/>
          <w:sz w:val="22"/>
          <w:lang w:val="en-US"/>
        </w:rPr>
      </w:pPr>
      <w:r w:rsidRPr="00784C39">
        <w:rPr>
          <w:rFonts w:ascii="Unistra B" w:hAnsi="Unistra B" w:cs="Calibri"/>
          <w:b/>
          <w:i/>
          <w:color w:val="E36C0A"/>
          <w:sz w:val="22"/>
          <w:lang w:val="en-US"/>
        </w:rPr>
        <w:t>Cumulation of financial support</w:t>
      </w:r>
    </w:p>
    <w:p w14:paraId="1B904B62" w14:textId="6879E602" w:rsidR="00FA731F" w:rsidRPr="00784C39" w:rsidRDefault="005415F5" w:rsidP="005415F5">
      <w:pPr>
        <w:jc w:val="both"/>
        <w:rPr>
          <w:rFonts w:ascii="Unistra B" w:hAnsi="Unistra B" w:cs="Calibri"/>
          <w:b/>
          <w:i/>
          <w:sz w:val="22"/>
          <w:szCs w:val="22"/>
          <w:lang w:val="en-US"/>
        </w:rPr>
      </w:pPr>
      <w:r w:rsidRPr="00784C39">
        <w:rPr>
          <w:rFonts w:ascii="Unistra B" w:hAnsi="Unistra B" w:cs="Calibri"/>
          <w:b/>
          <w:i/>
          <w:sz w:val="22"/>
          <w:szCs w:val="22"/>
          <w:lang w:val="en-US"/>
        </w:rPr>
        <w:t xml:space="preserve">The </w:t>
      </w:r>
      <w:proofErr w:type="spellStart"/>
      <w:r w:rsidRPr="00784C39">
        <w:rPr>
          <w:rFonts w:ascii="Unistra B" w:hAnsi="Unistra B" w:cs="Calibri"/>
          <w:b/>
          <w:i/>
          <w:sz w:val="22"/>
          <w:szCs w:val="22"/>
          <w:lang w:val="en-US"/>
        </w:rPr>
        <w:t>Mobil’ITI</w:t>
      </w:r>
      <w:proofErr w:type="spellEnd"/>
      <w:r w:rsidRPr="00784C39">
        <w:rPr>
          <w:rFonts w:ascii="Unistra B" w:hAnsi="Unistra B" w:cs="Calibri"/>
          <w:b/>
          <w:i/>
          <w:sz w:val="22"/>
          <w:szCs w:val="22"/>
          <w:lang w:val="en-US"/>
        </w:rPr>
        <w:t xml:space="preserve"> grant </w:t>
      </w:r>
      <w:proofErr w:type="gramStart"/>
      <w:r w:rsidRPr="00784C39">
        <w:rPr>
          <w:rFonts w:ascii="Unistra B" w:hAnsi="Unistra B" w:cs="Calibri"/>
          <w:b/>
          <w:i/>
          <w:sz w:val="22"/>
          <w:szCs w:val="22"/>
          <w:lang w:val="en-US"/>
        </w:rPr>
        <w:t>cannot be combined</w:t>
      </w:r>
      <w:proofErr w:type="gramEnd"/>
      <w:r w:rsidRPr="00784C39">
        <w:rPr>
          <w:rFonts w:ascii="Unistra B" w:hAnsi="Unistra B" w:cs="Calibri"/>
          <w:b/>
          <w:i/>
          <w:sz w:val="22"/>
          <w:szCs w:val="22"/>
          <w:lang w:val="en-US"/>
        </w:rPr>
        <w:t xml:space="preserve"> with the following mobility support </w:t>
      </w:r>
      <w:r w:rsidR="00193FA0" w:rsidRPr="00784C39">
        <w:rPr>
          <w:rFonts w:ascii="Unistra B" w:hAnsi="Unistra B" w:cs="Calibri"/>
          <w:b/>
          <w:i/>
          <w:sz w:val="22"/>
          <w:szCs w:val="22"/>
          <w:lang w:val="en-US"/>
        </w:rPr>
        <w:t>programs:</w:t>
      </w:r>
    </w:p>
    <w:p w14:paraId="09A8B3FD" w14:textId="77777777" w:rsidR="005415F5" w:rsidRPr="00784C39" w:rsidRDefault="005415F5" w:rsidP="005415F5">
      <w:pPr>
        <w:jc w:val="both"/>
        <w:rPr>
          <w:rFonts w:ascii="Unistra B" w:hAnsi="Unistra B" w:cs="Calibri"/>
          <w:b/>
          <w:i/>
          <w:sz w:val="22"/>
          <w:szCs w:val="22"/>
          <w:lang w:val="en-US"/>
        </w:rPr>
      </w:pPr>
    </w:p>
    <w:p w14:paraId="280DAC08" w14:textId="77777777" w:rsidR="00FA731F" w:rsidRPr="00D6244A" w:rsidRDefault="00FA731F" w:rsidP="00FA731F">
      <w:pPr>
        <w:numPr>
          <w:ilvl w:val="1"/>
          <w:numId w:val="9"/>
        </w:numPr>
        <w:tabs>
          <w:tab w:val="left" w:pos="709"/>
          <w:tab w:val="right" w:pos="9540"/>
        </w:tabs>
        <w:ind w:right="-2"/>
        <w:jc w:val="both"/>
        <w:rPr>
          <w:rFonts w:ascii="Unistra A" w:hAnsi="Unistra A" w:cs="Arial"/>
          <w:i/>
          <w:iCs/>
          <w:sz w:val="22"/>
          <w:szCs w:val="22"/>
          <w:lang w:val="en-GB"/>
        </w:rPr>
      </w:pPr>
      <w:proofErr w:type="spellStart"/>
      <w:r w:rsidRPr="00D6244A">
        <w:rPr>
          <w:rFonts w:ascii="Unistra A" w:hAnsi="Unistra A" w:cs="Arial"/>
          <w:i/>
          <w:iCs/>
          <w:sz w:val="22"/>
          <w:szCs w:val="22"/>
          <w:lang w:val="en-GB"/>
        </w:rPr>
        <w:t>Unistra</w:t>
      </w:r>
      <w:proofErr w:type="spellEnd"/>
      <w:r w:rsidRPr="00D6244A">
        <w:rPr>
          <w:rFonts w:ascii="Unistra A" w:hAnsi="Unistra A" w:cs="Arial"/>
          <w:i/>
          <w:iCs/>
          <w:sz w:val="22"/>
          <w:szCs w:val="22"/>
          <w:lang w:val="en-GB"/>
        </w:rPr>
        <w:t xml:space="preserve"> international mobility support system (DRI) </w:t>
      </w:r>
    </w:p>
    <w:p w14:paraId="2F8D6E72" w14:textId="77777777" w:rsidR="00FA731F" w:rsidRPr="00D6244A" w:rsidRDefault="00FA731F" w:rsidP="00FA731F">
      <w:pPr>
        <w:numPr>
          <w:ilvl w:val="1"/>
          <w:numId w:val="9"/>
        </w:numPr>
        <w:tabs>
          <w:tab w:val="left" w:pos="709"/>
          <w:tab w:val="right" w:pos="9540"/>
        </w:tabs>
        <w:ind w:right="-2"/>
        <w:jc w:val="both"/>
        <w:rPr>
          <w:rFonts w:ascii="Unistra A" w:hAnsi="Unistra A" w:cs="Arial"/>
          <w:i/>
          <w:iCs/>
          <w:sz w:val="22"/>
          <w:szCs w:val="22"/>
          <w:lang w:val="en-GB"/>
        </w:rPr>
      </w:pPr>
      <w:r w:rsidRPr="00D6244A">
        <w:rPr>
          <w:rFonts w:ascii="Unistra A" w:hAnsi="Unistra A" w:cs="Arial"/>
          <w:i/>
          <w:iCs/>
          <w:sz w:val="22"/>
          <w:szCs w:val="22"/>
          <w:lang w:val="en-GB"/>
        </w:rPr>
        <w:t>Erasmus+ MIC / Mundus / KA 103 except Erasmus+ Internship KA103</w:t>
      </w:r>
    </w:p>
    <w:p w14:paraId="5FD2E673" w14:textId="77777777" w:rsidR="00FA731F" w:rsidRPr="00D6244A" w:rsidRDefault="00FA731F" w:rsidP="00FA731F">
      <w:pPr>
        <w:numPr>
          <w:ilvl w:val="1"/>
          <w:numId w:val="9"/>
        </w:numPr>
        <w:tabs>
          <w:tab w:val="left" w:pos="709"/>
          <w:tab w:val="right" w:pos="9540"/>
        </w:tabs>
        <w:ind w:right="-2"/>
        <w:jc w:val="both"/>
        <w:rPr>
          <w:rFonts w:ascii="Unistra A" w:hAnsi="Unistra A" w:cs="Arial"/>
          <w:i/>
          <w:iCs/>
          <w:sz w:val="22"/>
          <w:szCs w:val="22"/>
        </w:rPr>
      </w:pPr>
      <w:r w:rsidRPr="00D6244A">
        <w:rPr>
          <w:rFonts w:ascii="Unistra A" w:hAnsi="Unistra A" w:cs="Arial"/>
          <w:i/>
          <w:iCs/>
          <w:sz w:val="22"/>
          <w:szCs w:val="22"/>
        </w:rPr>
        <w:t>FMU</w:t>
      </w:r>
    </w:p>
    <w:p w14:paraId="38DFBE37" w14:textId="77777777" w:rsidR="00FA731F" w:rsidRPr="00D6244A" w:rsidRDefault="00FA731F" w:rsidP="00FA731F">
      <w:pPr>
        <w:numPr>
          <w:ilvl w:val="1"/>
          <w:numId w:val="9"/>
        </w:numPr>
        <w:tabs>
          <w:tab w:val="left" w:pos="709"/>
          <w:tab w:val="right" w:pos="9540"/>
        </w:tabs>
        <w:ind w:right="-2"/>
        <w:jc w:val="both"/>
        <w:rPr>
          <w:rFonts w:ascii="Unistra A" w:hAnsi="Unistra A" w:cs="Arial"/>
          <w:i/>
          <w:iCs/>
          <w:sz w:val="22"/>
          <w:szCs w:val="22"/>
          <w:lang w:val="en-GB"/>
        </w:rPr>
      </w:pPr>
      <w:r w:rsidRPr="00D6244A">
        <w:rPr>
          <w:rFonts w:ascii="Unistra A" w:hAnsi="Unistra A" w:cs="Arial"/>
          <w:i/>
          <w:iCs/>
          <w:sz w:val="22"/>
          <w:szCs w:val="22"/>
          <w:lang w:val="en-GB"/>
        </w:rPr>
        <w:t xml:space="preserve">Other financial support from </w:t>
      </w:r>
      <w:proofErr w:type="spellStart"/>
      <w:r w:rsidRPr="00D6244A">
        <w:rPr>
          <w:rFonts w:ascii="Unistra A" w:hAnsi="Unistra A" w:cs="Arial"/>
          <w:i/>
          <w:iCs/>
          <w:sz w:val="22"/>
          <w:szCs w:val="22"/>
          <w:lang w:val="en-GB"/>
        </w:rPr>
        <w:t>IdEx</w:t>
      </w:r>
      <w:proofErr w:type="spellEnd"/>
      <w:r w:rsidRPr="00D6244A">
        <w:rPr>
          <w:rFonts w:ascii="Unistra A" w:hAnsi="Unistra A" w:cs="Arial"/>
          <w:i/>
          <w:iCs/>
          <w:sz w:val="22"/>
          <w:szCs w:val="22"/>
          <w:lang w:val="en-GB"/>
        </w:rPr>
        <w:t xml:space="preserve"> funding: The student-</w:t>
      </w:r>
      <w:proofErr w:type="spellStart"/>
      <w:r w:rsidRPr="00D6244A">
        <w:rPr>
          <w:rFonts w:ascii="Unistra A" w:hAnsi="Unistra A" w:cs="Arial"/>
          <w:i/>
          <w:iCs/>
          <w:sz w:val="22"/>
          <w:szCs w:val="22"/>
          <w:lang w:val="en-GB"/>
        </w:rPr>
        <w:t>allocatee</w:t>
      </w:r>
      <w:proofErr w:type="spellEnd"/>
      <w:r w:rsidRPr="00D6244A">
        <w:rPr>
          <w:rFonts w:ascii="Unistra A" w:hAnsi="Unistra A" w:cs="Arial"/>
          <w:i/>
          <w:iCs/>
          <w:sz w:val="22"/>
          <w:szCs w:val="22"/>
          <w:lang w:val="en-GB"/>
        </w:rPr>
        <w:t xml:space="preserve"> cannot benefit from any other financial support supported by </w:t>
      </w:r>
      <w:proofErr w:type="spellStart"/>
      <w:r w:rsidRPr="00D6244A">
        <w:rPr>
          <w:rFonts w:ascii="Unistra A" w:hAnsi="Unistra A" w:cs="Arial"/>
          <w:i/>
          <w:iCs/>
          <w:sz w:val="22"/>
          <w:szCs w:val="22"/>
          <w:lang w:val="en-GB"/>
        </w:rPr>
        <w:t>IdEx</w:t>
      </w:r>
      <w:proofErr w:type="spellEnd"/>
      <w:r w:rsidRPr="00D6244A">
        <w:rPr>
          <w:rFonts w:ascii="Unistra A" w:hAnsi="Unistra A" w:cs="Arial"/>
          <w:i/>
          <w:iCs/>
          <w:sz w:val="22"/>
          <w:szCs w:val="22"/>
          <w:lang w:val="en-GB"/>
        </w:rPr>
        <w:t xml:space="preserve"> for the same academic year. </w:t>
      </w:r>
    </w:p>
    <w:p w14:paraId="7A912828" w14:textId="77777777" w:rsidR="00FA731F" w:rsidRPr="00784C39" w:rsidRDefault="00FA731F" w:rsidP="00741802">
      <w:pPr>
        <w:spacing w:after="160" w:line="259" w:lineRule="auto"/>
        <w:rPr>
          <w:rFonts w:ascii="Unistra Encadre" w:hAnsi="Unistra Encadre"/>
          <w:b/>
          <w:color w:val="548DD4"/>
          <w:sz w:val="32"/>
          <w:szCs w:val="32"/>
          <w:lang w:val="en-US"/>
        </w:rPr>
        <w:sectPr w:rsidR="00FA731F" w:rsidRPr="00784C39" w:rsidSect="00BA2DBF">
          <w:headerReference w:type="default" r:id="rId8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2DBE811E" w14:textId="77777777" w:rsidR="00741802" w:rsidRPr="00784C39" w:rsidRDefault="00741802" w:rsidP="00741802">
      <w:pPr>
        <w:tabs>
          <w:tab w:val="right" w:pos="9638"/>
        </w:tabs>
        <w:jc w:val="both"/>
        <w:rPr>
          <w:rFonts w:ascii="Unistra A" w:hAnsi="Unistra A" w:cs="Arial"/>
          <w:color w:val="0000FF"/>
          <w:spacing w:val="40"/>
          <w:sz w:val="22"/>
          <w:szCs w:val="22"/>
          <w:lang w:val="en-US"/>
        </w:rPr>
      </w:pPr>
    </w:p>
    <w:p w14:paraId="006C15AC" w14:textId="77777777" w:rsidR="007358D9" w:rsidRPr="00784C39" w:rsidRDefault="007358D9" w:rsidP="007358D9">
      <w:pPr>
        <w:tabs>
          <w:tab w:val="right" w:pos="9638"/>
        </w:tabs>
        <w:ind w:left="1800"/>
        <w:rPr>
          <w:rFonts w:ascii="Unistra A" w:hAnsi="Unistra A" w:cs="Arial"/>
          <w:color w:val="0000FF"/>
          <w:spacing w:val="40"/>
          <w:sz w:val="22"/>
          <w:szCs w:val="22"/>
          <w:lang w:val="en-US"/>
        </w:rPr>
      </w:pPr>
      <w:r w:rsidRPr="00784C39">
        <w:rPr>
          <w:rFonts w:ascii="Unistra A" w:hAnsi="Unistra A" w:cs="Arial"/>
          <w:color w:val="0000FF"/>
          <w:spacing w:val="40"/>
          <w:sz w:val="22"/>
          <w:szCs w:val="22"/>
          <w:lang w:val="en-US"/>
        </w:rPr>
        <w:t xml:space="preserve">                    </w:t>
      </w:r>
    </w:p>
    <w:p w14:paraId="4D881CAF" w14:textId="77777777" w:rsidR="007358D9" w:rsidRPr="00784C39" w:rsidRDefault="007358D9" w:rsidP="00741802">
      <w:pPr>
        <w:jc w:val="center"/>
        <w:rPr>
          <w:rFonts w:ascii="Unistra B" w:hAnsi="Unistra B" w:cs="Calibri"/>
          <w:b/>
          <w:color w:val="E36C0A"/>
          <w:sz w:val="20"/>
          <w:szCs w:val="22"/>
          <w:lang w:val="en-US"/>
        </w:rPr>
      </w:pPr>
      <w:r w:rsidRPr="00784C39">
        <w:rPr>
          <w:rFonts w:ascii="Unistra A" w:hAnsi="Unistra A" w:cs="Arial"/>
          <w:b/>
          <w:sz w:val="22"/>
          <w:szCs w:val="22"/>
          <w:lang w:val="en-US"/>
        </w:rPr>
        <w:t xml:space="preserve">    </w:t>
      </w:r>
    </w:p>
    <w:p w14:paraId="79C13E10" w14:textId="3F8C19DF" w:rsidR="00741802" w:rsidRDefault="00A002B3" w:rsidP="00FA7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510"/>
          <w:tab w:val="right" w:leader="dot" w:pos="9540"/>
        </w:tabs>
        <w:spacing w:line="276" w:lineRule="auto"/>
        <w:jc w:val="both"/>
        <w:rPr>
          <w:rFonts w:ascii="Unistra A" w:hAnsi="Unistra A"/>
        </w:rPr>
      </w:pPr>
      <w:r w:rsidRPr="00FD53D7">
        <w:rPr>
          <w:rFonts w:ascii="Unistra A" w:hAnsi="Unistra A"/>
        </w:rPr>
        <w:t> </w:t>
      </w:r>
      <w:r w:rsidR="00741802" w:rsidRPr="00741802">
        <w:rPr>
          <w:rFonts w:ascii="Unistra A" w:hAnsi="Unistra A"/>
        </w:rPr>
        <w:t xml:space="preserve">Je </w:t>
      </w:r>
      <w:proofErr w:type="spellStart"/>
      <w:proofErr w:type="gramStart"/>
      <w:r w:rsidR="00741802" w:rsidRPr="00741802">
        <w:rPr>
          <w:rFonts w:ascii="Unistra A" w:hAnsi="Unistra A"/>
        </w:rPr>
        <w:t>soussigné.e</w:t>
      </w:r>
      <w:proofErr w:type="spellEnd"/>
      <w:proofErr w:type="gramEnd"/>
      <w:r w:rsidR="00741802" w:rsidRPr="00741802">
        <w:rPr>
          <w:rFonts w:ascii="Unistra A" w:hAnsi="Unistra A"/>
        </w:rPr>
        <w:t xml:space="preserve"> ...</w:t>
      </w:r>
      <w:r w:rsidR="00FD53D7">
        <w:rPr>
          <w:rFonts w:ascii="Unistra A" w:hAnsi="Unistra A"/>
        </w:rPr>
        <w:t xml:space="preserve">............................... </w:t>
      </w:r>
      <w:proofErr w:type="gramStart"/>
      <w:r w:rsidR="00741802" w:rsidRPr="00741802">
        <w:rPr>
          <w:rFonts w:ascii="Unistra A" w:hAnsi="Unistra A"/>
        </w:rPr>
        <w:t>fai</w:t>
      </w:r>
      <w:r w:rsidR="00FD53D7">
        <w:rPr>
          <w:rFonts w:ascii="Unistra A" w:hAnsi="Unistra A"/>
        </w:rPr>
        <w:t>t</w:t>
      </w:r>
      <w:proofErr w:type="gramEnd"/>
      <w:r w:rsidR="00193FA0">
        <w:rPr>
          <w:rFonts w:ascii="Unistra A" w:hAnsi="Unistra A"/>
        </w:rPr>
        <w:t xml:space="preserve"> une demande de bourse </w:t>
      </w:r>
      <w:r w:rsidR="00193FA0" w:rsidRPr="00193FA0">
        <w:rPr>
          <w:rFonts w:ascii="Unistra A" w:hAnsi="Unistra A"/>
        </w:rPr>
        <w:t xml:space="preserve">de master </w:t>
      </w:r>
      <w:proofErr w:type="spellStart"/>
      <w:r w:rsidR="00193FA0" w:rsidRPr="00193FA0">
        <w:rPr>
          <w:rFonts w:ascii="Unistra A" w:hAnsi="Unistra A"/>
        </w:rPr>
        <w:t>Mobil'ITI</w:t>
      </w:r>
      <w:proofErr w:type="spellEnd"/>
      <w:r w:rsidR="00193FA0">
        <w:rPr>
          <w:rFonts w:ascii="Unistra A" w:hAnsi="Unistra A"/>
        </w:rPr>
        <w:t>.</w:t>
      </w:r>
    </w:p>
    <w:p w14:paraId="0576E4FA" w14:textId="34CBDB1E" w:rsidR="00741802" w:rsidRPr="00784C39" w:rsidRDefault="00FA731F" w:rsidP="00FA7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510"/>
          <w:tab w:val="right" w:leader="dot" w:pos="9540"/>
        </w:tabs>
        <w:spacing w:line="276" w:lineRule="auto"/>
        <w:jc w:val="both"/>
        <w:rPr>
          <w:rFonts w:ascii="Unistra A" w:hAnsi="Unistra A"/>
          <w:i/>
          <w:lang w:val="en-US"/>
        </w:rPr>
      </w:pPr>
      <w:r w:rsidRPr="00784C39">
        <w:rPr>
          <w:rFonts w:ascii="Unistra A" w:hAnsi="Unistra A"/>
          <w:i/>
          <w:lang w:val="en-US"/>
        </w:rPr>
        <w:t>I undersigned ……</w:t>
      </w:r>
      <w:r w:rsidR="00FD53D7">
        <w:rPr>
          <w:rFonts w:ascii="Unistra A" w:hAnsi="Unistra A"/>
          <w:i/>
          <w:lang w:val="en-US"/>
        </w:rPr>
        <w:t>……………………………….</w:t>
      </w:r>
      <w:r w:rsidRPr="00784C39">
        <w:rPr>
          <w:rFonts w:ascii="Unistra A" w:hAnsi="Unistra A"/>
          <w:i/>
          <w:lang w:val="en-US"/>
        </w:rPr>
        <w:t xml:space="preserve"> am applying for a scholarship for the </w:t>
      </w:r>
      <w:r w:rsidR="00FD53D7">
        <w:rPr>
          <w:rFonts w:ascii="Unistra A" w:hAnsi="Unistra A"/>
          <w:i/>
          <w:lang w:val="en-US"/>
        </w:rPr>
        <w:t>Graduate Program</w:t>
      </w:r>
      <w:r w:rsidR="00193FA0">
        <w:rPr>
          <w:rFonts w:ascii="Unistra A" w:hAnsi="Unistra A"/>
          <w:i/>
          <w:lang w:val="en-US"/>
        </w:rPr>
        <w:t xml:space="preserve"> </w:t>
      </w:r>
      <w:proofErr w:type="spellStart"/>
      <w:r w:rsidR="00193FA0">
        <w:rPr>
          <w:rFonts w:ascii="Unistra A" w:hAnsi="Unistra A"/>
          <w:i/>
          <w:lang w:val="en-US"/>
        </w:rPr>
        <w:t>LiRiC</w:t>
      </w:r>
      <w:proofErr w:type="spellEnd"/>
      <w:r w:rsidR="00FD53D7">
        <w:rPr>
          <w:rFonts w:ascii="Unistra A" w:hAnsi="Unistra A"/>
          <w:i/>
          <w:lang w:val="en-US"/>
        </w:rPr>
        <w:t>.</w:t>
      </w:r>
    </w:p>
    <w:p w14:paraId="3D3AF35B" w14:textId="77777777" w:rsidR="00FA731F" w:rsidRPr="00784C39" w:rsidRDefault="00FA731F" w:rsidP="00FA7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510"/>
          <w:tab w:val="right" w:leader="dot" w:pos="9540"/>
        </w:tabs>
        <w:spacing w:line="276" w:lineRule="auto"/>
        <w:jc w:val="both"/>
        <w:rPr>
          <w:rFonts w:ascii="Unistra A" w:hAnsi="Unistra A"/>
          <w:i/>
          <w:lang w:val="en-US"/>
        </w:rPr>
      </w:pPr>
    </w:p>
    <w:p w14:paraId="030F9A36" w14:textId="5C9D56D5" w:rsidR="007358D9" w:rsidRDefault="00741802" w:rsidP="00FA7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510"/>
          <w:tab w:val="right" w:leader="dot" w:pos="9540"/>
        </w:tabs>
        <w:spacing w:line="276" w:lineRule="auto"/>
        <w:jc w:val="both"/>
        <w:rPr>
          <w:rFonts w:ascii="Unistra A" w:hAnsi="Unistra A"/>
        </w:rPr>
      </w:pPr>
      <w:r w:rsidRPr="00741802">
        <w:rPr>
          <w:rFonts w:ascii="Unistra A" w:hAnsi="Unistra A"/>
        </w:rPr>
        <w:t xml:space="preserve">Si ma mobilité venait à être écourtée ou annulée, je suis au courant qu'il me faudra rembourser le </w:t>
      </w:r>
      <w:r w:rsidR="00193FA0" w:rsidRPr="00741802">
        <w:rPr>
          <w:rFonts w:ascii="Unistra A" w:hAnsi="Unistra A"/>
        </w:rPr>
        <w:t>trop-perçu</w:t>
      </w:r>
      <w:r w:rsidRPr="00741802">
        <w:rPr>
          <w:rFonts w:ascii="Unistra A" w:hAnsi="Unistra A"/>
        </w:rPr>
        <w:t xml:space="preserve"> ou la totalité de ma bourse</w:t>
      </w:r>
      <w:r>
        <w:rPr>
          <w:rFonts w:ascii="Unistra A" w:hAnsi="Unistra A"/>
        </w:rPr>
        <w:t>.</w:t>
      </w:r>
    </w:p>
    <w:p w14:paraId="089BCB68" w14:textId="2ADF3E88" w:rsidR="00FA731F" w:rsidRPr="00784C39" w:rsidRDefault="00FA731F" w:rsidP="00FA7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510"/>
          <w:tab w:val="right" w:leader="dot" w:pos="9540"/>
        </w:tabs>
        <w:spacing w:line="276" w:lineRule="auto"/>
        <w:jc w:val="both"/>
        <w:rPr>
          <w:rFonts w:ascii="Unistra A" w:hAnsi="Unistra A"/>
          <w:i/>
          <w:lang w:val="en-US"/>
        </w:rPr>
      </w:pPr>
      <w:r w:rsidRPr="00784C39">
        <w:rPr>
          <w:rFonts w:ascii="Unistra A" w:hAnsi="Unistra A"/>
          <w:i/>
          <w:lang w:val="en-US"/>
        </w:rPr>
        <w:t xml:space="preserve">I agree to reimburse the excess </w:t>
      </w:r>
      <w:r w:rsidR="00193FA0" w:rsidRPr="00784C39">
        <w:rPr>
          <w:rFonts w:ascii="Unistra A" w:hAnsi="Unistra A"/>
          <w:i/>
          <w:lang w:val="en-US"/>
        </w:rPr>
        <w:t>payment</w:t>
      </w:r>
      <w:r w:rsidRPr="00784C39">
        <w:rPr>
          <w:rFonts w:ascii="Unistra A" w:hAnsi="Unistra A"/>
          <w:i/>
          <w:lang w:val="en-US"/>
        </w:rPr>
        <w:t xml:space="preserve"> if I have to cancel or shorten my mobility.</w:t>
      </w:r>
    </w:p>
    <w:p w14:paraId="5BD71AB1" w14:textId="77777777" w:rsidR="00FA731F" w:rsidRPr="00784C39" w:rsidRDefault="00FA731F" w:rsidP="00FA7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510"/>
          <w:tab w:val="right" w:leader="dot" w:pos="9540"/>
        </w:tabs>
        <w:spacing w:line="276" w:lineRule="auto"/>
        <w:jc w:val="both"/>
        <w:rPr>
          <w:rFonts w:ascii="Unistra A" w:hAnsi="Unistra A" w:cs="Arial"/>
          <w:b/>
          <w:sz w:val="22"/>
          <w:szCs w:val="22"/>
          <w:lang w:val="en-US"/>
        </w:rPr>
      </w:pPr>
    </w:p>
    <w:p w14:paraId="6627D4D3" w14:textId="77777777" w:rsidR="00741802" w:rsidRPr="00784C39" w:rsidRDefault="00741802" w:rsidP="00FA7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510"/>
          <w:tab w:val="right" w:leader="dot" w:pos="9540"/>
        </w:tabs>
        <w:rPr>
          <w:rFonts w:ascii="Unistra A" w:hAnsi="Unistra A" w:cs="Arial"/>
          <w:sz w:val="22"/>
          <w:szCs w:val="22"/>
          <w:lang w:val="en-US"/>
        </w:rPr>
      </w:pPr>
    </w:p>
    <w:p w14:paraId="211CA016" w14:textId="77777777" w:rsidR="00741802" w:rsidRPr="00784C39" w:rsidRDefault="00741802" w:rsidP="00FA7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510"/>
          <w:tab w:val="right" w:leader="dot" w:pos="9540"/>
        </w:tabs>
        <w:rPr>
          <w:rFonts w:ascii="Unistra A" w:hAnsi="Unistra A" w:cs="Arial"/>
          <w:sz w:val="22"/>
          <w:szCs w:val="22"/>
          <w:lang w:val="en-US"/>
        </w:rPr>
      </w:pPr>
    </w:p>
    <w:p w14:paraId="62362204" w14:textId="5045578D" w:rsidR="00C56ED7" w:rsidRDefault="00FA731F" w:rsidP="00FA7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Unistra A" w:hAnsi="Unistra A"/>
          <w:sz w:val="22"/>
          <w:szCs w:val="22"/>
        </w:rPr>
      </w:pPr>
      <w:r>
        <w:rPr>
          <w:rFonts w:ascii="Unistra A" w:hAnsi="Unistra A"/>
          <w:sz w:val="22"/>
          <w:szCs w:val="22"/>
        </w:rPr>
        <w:t xml:space="preserve">Fait à, </w:t>
      </w:r>
      <w:proofErr w:type="spellStart"/>
      <w:r>
        <w:rPr>
          <w:rFonts w:ascii="Unistra A" w:hAnsi="Unistra A"/>
          <w:i/>
          <w:sz w:val="22"/>
          <w:szCs w:val="22"/>
        </w:rPr>
        <w:t>D</w:t>
      </w:r>
      <w:r w:rsidRPr="00FA731F">
        <w:rPr>
          <w:rFonts w:ascii="Unistra A" w:hAnsi="Unistra A"/>
          <w:i/>
          <w:sz w:val="22"/>
          <w:szCs w:val="22"/>
        </w:rPr>
        <w:t>one</w:t>
      </w:r>
      <w:proofErr w:type="spellEnd"/>
      <w:r w:rsidRPr="00FA731F">
        <w:rPr>
          <w:rFonts w:ascii="Unistra A" w:hAnsi="Unistra A"/>
          <w:i/>
          <w:sz w:val="22"/>
          <w:szCs w:val="22"/>
        </w:rPr>
        <w:t xml:space="preserve"> </w:t>
      </w:r>
      <w:proofErr w:type="gramStart"/>
      <w:r w:rsidR="00193FA0" w:rsidRPr="00FA731F">
        <w:rPr>
          <w:rFonts w:ascii="Unistra A" w:hAnsi="Unistra A"/>
          <w:i/>
          <w:sz w:val="22"/>
          <w:szCs w:val="22"/>
        </w:rPr>
        <w:t>at</w:t>
      </w:r>
      <w:r w:rsidR="00193FA0">
        <w:rPr>
          <w:rFonts w:ascii="Unistra A" w:hAnsi="Unistra A"/>
          <w:sz w:val="22"/>
          <w:szCs w:val="22"/>
        </w:rPr>
        <w:t xml:space="preserve">,  </w:t>
      </w:r>
      <w:r w:rsidR="00741802">
        <w:rPr>
          <w:rFonts w:ascii="Unistra A" w:hAnsi="Unistra A"/>
          <w:sz w:val="22"/>
          <w:szCs w:val="22"/>
        </w:rPr>
        <w:t xml:space="preserve"> </w:t>
      </w:r>
      <w:proofErr w:type="gramEnd"/>
      <w:r w:rsidR="00741802">
        <w:rPr>
          <w:rFonts w:ascii="Unistra A" w:hAnsi="Unistra A"/>
          <w:sz w:val="22"/>
          <w:szCs w:val="22"/>
        </w:rPr>
        <w:t xml:space="preserve">                                                                              </w:t>
      </w:r>
      <w:r w:rsidR="00193FA0">
        <w:rPr>
          <w:rFonts w:ascii="Unistra A" w:hAnsi="Unistra A"/>
          <w:sz w:val="22"/>
          <w:szCs w:val="22"/>
        </w:rPr>
        <w:t xml:space="preserve"> D</w:t>
      </w:r>
      <w:bookmarkStart w:id="0" w:name="_GoBack"/>
      <w:bookmarkEnd w:id="0"/>
      <w:r>
        <w:rPr>
          <w:rFonts w:ascii="Unistra A" w:hAnsi="Unistra A"/>
          <w:sz w:val="22"/>
          <w:szCs w:val="22"/>
        </w:rPr>
        <w:t>ate</w:t>
      </w:r>
    </w:p>
    <w:p w14:paraId="51C3CBDE" w14:textId="77777777" w:rsidR="00741802" w:rsidRDefault="00741802" w:rsidP="00FA7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Unistra A" w:hAnsi="Unistra A"/>
          <w:sz w:val="22"/>
          <w:szCs w:val="22"/>
        </w:rPr>
      </w:pPr>
    </w:p>
    <w:p w14:paraId="5F70EA60" w14:textId="77777777" w:rsidR="00741802" w:rsidRDefault="00741802" w:rsidP="00FA7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Unistra A" w:hAnsi="Unistra A"/>
          <w:sz w:val="22"/>
          <w:szCs w:val="22"/>
        </w:rPr>
      </w:pPr>
    </w:p>
    <w:p w14:paraId="09DC3FD7" w14:textId="77777777" w:rsidR="00741802" w:rsidRPr="007358D9" w:rsidRDefault="00741802" w:rsidP="00FA73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Unistra A" w:hAnsi="Unistra A"/>
          <w:sz w:val="22"/>
          <w:szCs w:val="22"/>
        </w:rPr>
      </w:pPr>
      <w:r>
        <w:rPr>
          <w:rFonts w:ascii="Unistra A" w:hAnsi="Unistra A"/>
          <w:sz w:val="22"/>
          <w:szCs w:val="22"/>
        </w:rPr>
        <w:t>Signature</w:t>
      </w:r>
    </w:p>
    <w:sectPr w:rsidR="00741802" w:rsidRPr="007358D9" w:rsidSect="00C350DF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48678" w14:textId="77777777" w:rsidR="007D3B07" w:rsidRDefault="007D3B07" w:rsidP="007358D9">
      <w:r>
        <w:separator/>
      </w:r>
    </w:p>
  </w:endnote>
  <w:endnote w:type="continuationSeparator" w:id="0">
    <w:p w14:paraId="1FA4BD3C" w14:textId="77777777" w:rsidR="007D3B07" w:rsidRDefault="007D3B07" w:rsidP="0073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Unistra B">
    <w:altName w:val="Unistra B"/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stra Encadre">
    <w:panose1 w:val="02000503030000020000"/>
    <w:charset w:val="00"/>
    <w:family w:val="auto"/>
    <w:pitch w:val="variable"/>
    <w:sig w:usb0="A00000AF" w:usb1="5000606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54AAF" w14:textId="77777777" w:rsidR="007D3B07" w:rsidRDefault="007D3B07" w:rsidP="007358D9">
      <w:r>
        <w:separator/>
      </w:r>
    </w:p>
  </w:footnote>
  <w:footnote w:type="continuationSeparator" w:id="0">
    <w:p w14:paraId="4C76D54F" w14:textId="77777777" w:rsidR="007D3B07" w:rsidRDefault="007D3B07" w:rsidP="0073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5DD85" w14:textId="77777777" w:rsidR="00741802" w:rsidRDefault="00741802">
    <w:pPr>
      <w:pStyle w:val="En-tte"/>
    </w:pPr>
    <w:r>
      <w:rPr>
        <w:noProof/>
      </w:rPr>
      <w:drawing>
        <wp:inline distT="0" distB="0" distL="0" distR="0" wp14:anchorId="5106CA5F" wp14:editId="4ED161A7">
          <wp:extent cx="2956566" cy="410311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stra-iti-fr-cmj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6566" cy="410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65DD" w14:textId="77777777" w:rsidR="007358D9" w:rsidRDefault="00C350DF">
    <w:pPr>
      <w:pStyle w:val="En-tte"/>
    </w:pPr>
    <w:r>
      <w:rPr>
        <w:noProof/>
      </w:rPr>
      <w:drawing>
        <wp:inline distT="0" distB="0" distL="0" distR="0" wp14:anchorId="53078B35" wp14:editId="6E3E0D59">
          <wp:extent cx="2956566" cy="410311"/>
          <wp:effectExtent l="0" t="0" r="0" b="889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stra-iti-fr-cmj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6566" cy="410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E038E"/>
    <w:multiLevelType w:val="hybridMultilevel"/>
    <w:tmpl w:val="211EC0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AC0018"/>
    <w:multiLevelType w:val="hybridMultilevel"/>
    <w:tmpl w:val="40A093A8"/>
    <w:lvl w:ilvl="0" w:tplc="629801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D9"/>
    <w:rsid w:val="00011564"/>
    <w:rsid w:val="00060075"/>
    <w:rsid w:val="0008565E"/>
    <w:rsid w:val="000C0BA2"/>
    <w:rsid w:val="000C0C16"/>
    <w:rsid w:val="00102E35"/>
    <w:rsid w:val="001374D1"/>
    <w:rsid w:val="00193FA0"/>
    <w:rsid w:val="001C6DD5"/>
    <w:rsid w:val="001D5C8A"/>
    <w:rsid w:val="0025142F"/>
    <w:rsid w:val="0029150C"/>
    <w:rsid w:val="00300CFE"/>
    <w:rsid w:val="003633DF"/>
    <w:rsid w:val="003C7C2D"/>
    <w:rsid w:val="003F357F"/>
    <w:rsid w:val="00451209"/>
    <w:rsid w:val="0047235B"/>
    <w:rsid w:val="0049030D"/>
    <w:rsid w:val="004B4028"/>
    <w:rsid w:val="004C067B"/>
    <w:rsid w:val="00525C05"/>
    <w:rsid w:val="00541532"/>
    <w:rsid w:val="005415F5"/>
    <w:rsid w:val="00555A76"/>
    <w:rsid w:val="005C3894"/>
    <w:rsid w:val="005C793F"/>
    <w:rsid w:val="005F26C5"/>
    <w:rsid w:val="00680545"/>
    <w:rsid w:val="006C4DA4"/>
    <w:rsid w:val="007358D9"/>
    <w:rsid w:val="00741802"/>
    <w:rsid w:val="00783A25"/>
    <w:rsid w:val="00784C39"/>
    <w:rsid w:val="007925B8"/>
    <w:rsid w:val="007C4BCB"/>
    <w:rsid w:val="007D3B07"/>
    <w:rsid w:val="007F10DD"/>
    <w:rsid w:val="0081471A"/>
    <w:rsid w:val="008768C4"/>
    <w:rsid w:val="00880941"/>
    <w:rsid w:val="008B0F3A"/>
    <w:rsid w:val="008E164A"/>
    <w:rsid w:val="009F2B05"/>
    <w:rsid w:val="00A002B3"/>
    <w:rsid w:val="00A574C7"/>
    <w:rsid w:val="00A74883"/>
    <w:rsid w:val="00AB42C8"/>
    <w:rsid w:val="00B35EB7"/>
    <w:rsid w:val="00BC6600"/>
    <w:rsid w:val="00BE00E1"/>
    <w:rsid w:val="00C350DF"/>
    <w:rsid w:val="00C56ED7"/>
    <w:rsid w:val="00C75451"/>
    <w:rsid w:val="00D111AA"/>
    <w:rsid w:val="00D252A0"/>
    <w:rsid w:val="00D37D1A"/>
    <w:rsid w:val="00D40A91"/>
    <w:rsid w:val="00D45599"/>
    <w:rsid w:val="00D55D88"/>
    <w:rsid w:val="00D65661"/>
    <w:rsid w:val="00D772D0"/>
    <w:rsid w:val="00D93A11"/>
    <w:rsid w:val="00DB10AA"/>
    <w:rsid w:val="00DB212E"/>
    <w:rsid w:val="00DB7289"/>
    <w:rsid w:val="00DD105D"/>
    <w:rsid w:val="00E01911"/>
    <w:rsid w:val="00E17B8B"/>
    <w:rsid w:val="00EF262C"/>
    <w:rsid w:val="00EF556F"/>
    <w:rsid w:val="00F56A7D"/>
    <w:rsid w:val="00F703CA"/>
    <w:rsid w:val="00FA113B"/>
    <w:rsid w:val="00FA731F"/>
    <w:rsid w:val="00FD53D7"/>
    <w:rsid w:val="00FE3730"/>
    <w:rsid w:val="00FE4535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171AA"/>
  <w15:chartTrackingRefBased/>
  <w15:docId w15:val="{EE8CFF15-5889-4ACE-91CC-12666223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C4BCB"/>
    <w:pPr>
      <w:keepNext/>
      <w:spacing w:before="240" w:line="259" w:lineRule="auto"/>
      <w:outlineLvl w:val="0"/>
    </w:pPr>
    <w:rPr>
      <w:rFonts w:asciiTheme="majorHAnsi" w:eastAsiaTheme="majorEastAsia" w:hAnsiTheme="majorHAnsi" w:cstheme="majorBidi"/>
      <w:kern w:val="16"/>
      <w:sz w:val="32"/>
      <w:szCs w:val="32"/>
      <w:lang w:eastAsia="en-US"/>
      <w14:ligatures w14:val="standardContextual"/>
      <w14:numForm w14:val="lining"/>
      <w14:numSpacing w14:val="tabula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4BCB"/>
    <w:pPr>
      <w:keepNext/>
      <w:spacing w:before="40" w:line="259" w:lineRule="auto"/>
      <w:outlineLvl w:val="1"/>
    </w:pPr>
    <w:rPr>
      <w:rFonts w:asciiTheme="majorHAnsi" w:eastAsiaTheme="majorEastAsia" w:hAnsiTheme="majorHAnsi" w:cstheme="majorBidi"/>
      <w:kern w:val="16"/>
      <w:sz w:val="26"/>
      <w:szCs w:val="26"/>
      <w:lang w:eastAsia="en-US"/>
      <w14:ligatures w14:val="standardContextual"/>
      <w14:numForm w14:val="lining"/>
      <w14:numSpacing w14:val="tabula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 w:line="259" w:lineRule="auto"/>
      <w:outlineLvl w:val="2"/>
    </w:pPr>
    <w:rPr>
      <w:rFonts w:asciiTheme="majorHAnsi" w:eastAsiaTheme="majorEastAsia" w:hAnsiTheme="majorHAnsi" w:cstheme="majorBidi"/>
      <w:kern w:val="16"/>
      <w:lang w:eastAsia="en-US"/>
      <w14:ligatures w14:val="standardContextual"/>
      <w14:numForm w14:val="lining"/>
      <w14:numSpacing w14:val="tabular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 w:line="259" w:lineRule="auto"/>
      <w:outlineLvl w:val="3"/>
    </w:pPr>
    <w:rPr>
      <w:rFonts w:asciiTheme="majorHAnsi" w:eastAsiaTheme="majorEastAsia" w:hAnsiTheme="majorHAnsi" w:cstheme="majorBidi"/>
      <w:i/>
      <w:iCs/>
      <w:kern w:val="16"/>
      <w:szCs w:val="22"/>
      <w:lang w:eastAsia="en-US"/>
      <w14:ligatures w14:val="standardContextual"/>
      <w14:numForm w14:val="lining"/>
      <w14:numSpacing w14:val="tabular"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spacing w:before="60" w:after="60" w:line="259" w:lineRule="auto"/>
      <w:ind w:left="0"/>
    </w:pPr>
    <w:rPr>
      <w:rFonts w:asciiTheme="minorHAnsi" w:eastAsiaTheme="minorHAnsi" w:hAnsiTheme="minorHAnsi" w:cstheme="minorBidi"/>
      <w:kern w:val="16"/>
      <w:szCs w:val="22"/>
      <w:lang w:eastAsia="en-US"/>
      <w14:ligatures w14:val="standardContextual"/>
      <w14:numForm w14:val="lining"/>
      <w14:numSpacing w14:val="tabular"/>
    </w:r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spacing w:before="60" w:after="60" w:line="259" w:lineRule="auto"/>
      <w:ind w:left="0" w:hanging="284"/>
      <w:contextualSpacing/>
    </w:pPr>
    <w:rPr>
      <w:rFonts w:asciiTheme="minorHAnsi" w:eastAsiaTheme="minorHAnsi" w:hAnsiTheme="minorHAnsi" w:cstheme="minorBidi"/>
      <w:kern w:val="16"/>
      <w:szCs w:val="22"/>
      <w:lang w:eastAsia="en-US"/>
      <w14:ligatures w14:val="standardContextual"/>
      <w14:numForm w14:val="lining"/>
      <w14:numSpacing w14:val="tabular"/>
    </w:rPr>
  </w:style>
  <w:style w:type="character" w:customStyle="1" w:styleId="Titre1Car">
    <w:name w:val="Titre 1 Car"/>
    <w:basedOn w:val="Policepardfaut"/>
    <w:link w:val="Titre1"/>
    <w:uiPriority w:val="9"/>
    <w:rsid w:val="007C4BCB"/>
    <w:rPr>
      <w:rFonts w:asciiTheme="majorHAnsi" w:eastAsiaTheme="majorEastAsia" w:hAnsiTheme="majorHAnsi" w:cstheme="majorBidi"/>
      <w:kern w:val="16"/>
      <w:sz w:val="32"/>
      <w:szCs w:val="32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7C4BCB"/>
    <w:rPr>
      <w:rFonts w:asciiTheme="majorHAnsi" w:eastAsiaTheme="majorEastAsia" w:hAnsiTheme="majorHAnsi" w:cstheme="majorBidi"/>
      <w:kern w:val="16"/>
      <w:sz w:val="26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spacing w:before="60" w:after="60" w:line="259" w:lineRule="auto"/>
      <w:ind w:left="0" w:hanging="285"/>
      <w:contextualSpacing/>
    </w:pPr>
    <w:rPr>
      <w:rFonts w:asciiTheme="minorHAnsi" w:eastAsiaTheme="minorHAnsi" w:hAnsiTheme="minorHAnsi" w:cstheme="minorBidi"/>
      <w:kern w:val="16"/>
      <w:szCs w:val="22"/>
      <w:lang w:eastAsia="en-US"/>
      <w14:ligatures w14:val="standardContextual"/>
      <w14:numForm w14:val="lining"/>
      <w14:numSpacing w14:val="tabular"/>
    </w:r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spacing w:before="60" w:after="60" w:line="259" w:lineRule="auto"/>
      <w:contextualSpacing/>
    </w:pPr>
    <w:rPr>
      <w:rFonts w:asciiTheme="minorHAnsi" w:eastAsiaTheme="minorHAnsi" w:hAnsiTheme="minorHAnsi" w:cstheme="minorBidi"/>
      <w:kern w:val="16"/>
      <w:szCs w:val="22"/>
      <w:lang w:eastAsia="en-US"/>
      <w14:ligatures w14:val="standardContextual"/>
      <w14:numForm w14:val="lining"/>
      <w14:numSpacing w14:val="tabular"/>
    </w:r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spacing w:before="60" w:after="60" w:line="259" w:lineRule="auto"/>
      <w:ind w:left="357" w:hanging="357"/>
      <w:contextualSpacing/>
    </w:pPr>
    <w:rPr>
      <w:rFonts w:asciiTheme="minorHAnsi" w:eastAsiaTheme="minorHAnsi" w:hAnsiTheme="minorHAnsi" w:cstheme="minorBidi"/>
      <w:kern w:val="16"/>
      <w:szCs w:val="22"/>
      <w:lang w:eastAsia="en-US"/>
      <w14:ligatures w14:val="standardContextual"/>
      <w14:numForm w14:val="lining"/>
      <w14:numSpacing w14:val="tabular"/>
    </w:rPr>
  </w:style>
  <w:style w:type="paragraph" w:styleId="En-tte">
    <w:name w:val="header"/>
    <w:basedOn w:val="Normal"/>
    <w:link w:val="En-tteCar"/>
    <w:uiPriority w:val="99"/>
    <w:unhideWhenUsed/>
    <w:rsid w:val="007358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58D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358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8D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18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90C1-2DBB-4495-88BE-0F497815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DIEUDONNE Camille</dc:creator>
  <cp:keywords/>
  <dc:description/>
  <cp:lastModifiedBy>Mai Anh Do</cp:lastModifiedBy>
  <cp:revision>9</cp:revision>
  <dcterms:created xsi:type="dcterms:W3CDTF">2021-03-22T10:10:00Z</dcterms:created>
  <dcterms:modified xsi:type="dcterms:W3CDTF">2025-06-30T08:04:00Z</dcterms:modified>
</cp:coreProperties>
</file>